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바탕" w:hAnsi="바탕" w:eastAsia="바탕" w:ascii="바탕"/>
          <w:sz w:val="30"/>
          <w:szCs w:val="30"/>
        </w:rPr>
        <w:jc w:val="left"/>
        <w:spacing w:lineRule="exact" w:line="360"/>
        <w:ind w:left="2909"/>
      </w:pPr>
      <w:r>
        <w:rPr>
          <w:rFonts w:cs="바탕" w:hAnsi="바탕" w:eastAsia="바탕" w:ascii="바탕"/>
          <w:spacing w:val="0"/>
          <w:w w:val="100"/>
          <w:position w:val="-3"/>
          <w:sz w:val="30"/>
          <w:szCs w:val="30"/>
        </w:rPr>
        <w:t>항</w:t>
      </w:r>
      <w:r>
        <w:rPr>
          <w:rFonts w:cs="바탕" w:hAnsi="바탕" w:eastAsia="바탕" w:ascii="바탕"/>
          <w:spacing w:val="0"/>
          <w:w w:val="100"/>
          <w:position w:val="-3"/>
          <w:sz w:val="30"/>
          <w:szCs w:val="30"/>
        </w:rPr>
        <w:t>          </w:t>
      </w:r>
      <w:r>
        <w:rPr>
          <w:rFonts w:cs="바탕" w:hAnsi="바탕" w:eastAsia="바탕" w:ascii="바탕"/>
          <w:spacing w:val="95"/>
          <w:w w:val="100"/>
          <w:position w:val="-3"/>
          <w:sz w:val="30"/>
          <w:szCs w:val="30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30"/>
          <w:szCs w:val="30"/>
        </w:rPr>
        <w:t>고</w:t>
      </w:r>
      <w:r>
        <w:rPr>
          <w:rFonts w:cs="바탕" w:hAnsi="바탕" w:eastAsia="바탕" w:ascii="바탕"/>
          <w:spacing w:val="0"/>
          <w:w w:val="100"/>
          <w:position w:val="-3"/>
          <w:sz w:val="30"/>
          <w:szCs w:val="30"/>
        </w:rPr>
        <w:t>            </w:t>
      </w:r>
      <w:r>
        <w:rPr>
          <w:rFonts w:cs="바탕" w:hAnsi="바탕" w:eastAsia="바탕" w:ascii="바탕"/>
          <w:spacing w:val="44"/>
          <w:w w:val="100"/>
          <w:position w:val="-3"/>
          <w:sz w:val="30"/>
          <w:szCs w:val="30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30"/>
          <w:szCs w:val="30"/>
        </w:rPr>
        <w:t>장</w:t>
      </w:r>
      <w:r>
        <w:rPr>
          <w:rFonts w:cs="바탕" w:hAnsi="바탕" w:eastAsia="바탕" w:ascii="바탕"/>
          <w:spacing w:val="0"/>
          <w:w w:val="100"/>
          <w:position w:val="0"/>
          <w:sz w:val="30"/>
          <w:szCs w:val="3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auto" w:line="381"/>
        <w:ind w:left="119" w:right="2299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사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건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   </w:t>
      </w:r>
      <w:r>
        <w:rPr>
          <w:rFonts w:cs="바탕" w:hAnsi="바탕" w:eastAsia="바탕" w:ascii="바탕"/>
          <w:spacing w:val="3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타경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    </w:t>
      </w:r>
      <w:r>
        <w:rPr>
          <w:rFonts w:cs="바탕" w:hAnsi="바탕" w:eastAsia="바탕" w:ascii="바탕"/>
          <w:spacing w:val="7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호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부동산임의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강제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경매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항고인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채무자)</w:t>
      </w:r>
      <w:r>
        <w:rPr>
          <w:rFonts w:cs="바탕" w:hAnsi="바탕" w:eastAsia="바탕" w:ascii="바탕"/>
          <w:spacing w:val="2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36"/>
        <w:ind w:left="2398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주소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auto" w:line="381"/>
        <w:ind w:left="119" w:right="56" w:firstLine="360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사건에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관하여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귀원이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년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월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일에</w:t>
      </w:r>
      <w:r>
        <w:rPr>
          <w:rFonts w:cs="바탕" w:hAnsi="바탕" w:eastAsia="바탕" w:ascii="바탕"/>
          <w:spacing w:val="37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한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결정은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년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</w:t>
      </w:r>
      <w:r>
        <w:rPr>
          <w:rFonts w:cs="바탕" w:hAnsi="바탕" w:eastAsia="바탕" w:ascii="바탕"/>
          <w:spacing w:val="41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월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</w:t>
      </w:r>
      <w:r>
        <w:rPr>
          <w:rFonts w:cs="바탕" w:hAnsi="바탕" w:eastAsia="바탕" w:ascii="바탕"/>
          <w:spacing w:val="41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일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에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그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송달을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받았으나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,</w:t>
      </w:r>
      <w:r>
        <w:rPr>
          <w:rFonts w:cs="바탕" w:hAnsi="바탕" w:eastAsia="바탕" w:ascii="바탕"/>
          <w:spacing w:val="3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전부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불복이므로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항고를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제기합니다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36"/>
        <w:ind w:left="119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원결정의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표시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center"/>
        <w:spacing w:lineRule="exact" w:line="300"/>
        <w:ind w:left="3212" w:right="3194"/>
      </w:pP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항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고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취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position w:val="-3"/>
          <w:sz w:val="24"/>
          <w:szCs w:val="24"/>
        </w:rPr>
        <w:t>지</w:t>
      </w:r>
      <w:r>
        <w:rPr>
          <w:rFonts w:cs="바탕" w:hAnsi="바탕" w:eastAsia="바탕" w:ascii="바탕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119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원결정을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취소하고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다시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상당한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재판을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구함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  <w:sectPr>
          <w:type w:val="continuous"/>
          <w:pgSz w:w="11900" w:h="16820"/>
          <w:pgMar w:top="1580" w:bottom="280" w:left="1320" w:right="1340"/>
        </w:sectPr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119" w:right="-56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첨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부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서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류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119"/>
      </w:pPr>
      <w:r>
        <w:rPr>
          <w:rFonts w:cs="바탕" w:hAnsi="바탕" w:eastAsia="바탕" w:ascii="바탕"/>
          <w:spacing w:val="-1"/>
          <w:w w:val="96"/>
          <w:sz w:val="24"/>
          <w:szCs w:val="24"/>
        </w:rPr>
        <w:t>1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exact" w:line="300"/>
        <w:sectPr>
          <w:type w:val="continuous"/>
          <w:pgSz w:w="11900" w:h="16820"/>
          <w:pgMar w:top="1580" w:bottom="280" w:left="1320" w:right="1340"/>
          <w:cols w:num="2" w:equalWidth="off">
            <w:col w:w="1439" w:space="1811"/>
            <w:col w:w="5990"/>
          </w:cols>
        </w:sectPr>
      </w:pPr>
      <w:r>
        <w:br w:type="column"/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항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고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이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      </w:t>
      </w:r>
      <w:r>
        <w:rPr>
          <w:rFonts w:cs="바탕" w:hAnsi="바탕" w:eastAsia="바탕" w:ascii="바탕"/>
          <w:spacing w:val="38"/>
          <w:w w:val="100"/>
          <w:position w:val="-3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유</w:t>
      </w:r>
      <w:r>
        <w:rPr>
          <w:rFonts w:cs="바탕" w:hAnsi="바탕" w:eastAsia="바탕" w:ascii="바탕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  <w:sectPr>
          <w:type w:val="continuous"/>
          <w:pgSz w:w="11900" w:h="16820"/>
          <w:pgMar w:top="1580" w:bottom="280" w:left="1320" w:right="1340"/>
        </w:sectPr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exact" w:line="300"/>
        <w:ind w:left="119"/>
      </w:pPr>
      <w:r>
        <w:rPr>
          <w:rFonts w:cs="바탕" w:hAnsi="바탕" w:eastAsia="바탕" w:ascii="바탕"/>
          <w:spacing w:val="-1"/>
          <w:w w:val="96"/>
          <w:position w:val="-3"/>
          <w:sz w:val="24"/>
          <w:szCs w:val="24"/>
        </w:rPr>
        <w:t>2</w:t>
      </w:r>
      <w:r>
        <w:rPr>
          <w:rFonts w:cs="바탕" w:hAnsi="바탕" w:eastAsia="바탕" w:ascii="바탕"/>
          <w:spacing w:val="0"/>
          <w:w w:val="114"/>
          <w:position w:val="-3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2158" w:right="-56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항고인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ectPr>
          <w:type w:val="continuous"/>
          <w:pgSz w:w="11900" w:h="16820"/>
          <w:pgMar w:top="1580" w:bottom="280" w:left="1320" w:right="1340"/>
          <w:cols w:num="2" w:equalWidth="off">
            <w:col w:w="3238" w:space="153"/>
            <w:col w:w="5849"/>
          </w:cols>
        </w:sectPr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년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</w:t>
      </w:r>
      <w:r>
        <w:rPr>
          <w:rFonts w:cs="바탕" w:hAnsi="바탕" w:eastAsia="바탕" w:ascii="바탕"/>
          <w:spacing w:val="77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월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      </w:t>
      </w:r>
      <w:r>
        <w:rPr>
          <w:rFonts w:cs="바탕" w:hAnsi="바탕" w:eastAsia="바탕" w:ascii="바탕"/>
          <w:spacing w:val="7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일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exact" w:line="300"/>
        <w:ind w:left="2158"/>
      </w:pP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연락처</w:t>
      </w:r>
      <w:r>
        <w:rPr>
          <w:rFonts w:cs="바탕" w:hAnsi="바탕" w:eastAsia="바탕" w:ascii="바탕"/>
          <w:spacing w:val="1"/>
          <w:w w:val="100"/>
          <w:position w:val="-3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☎)</w:t>
      </w:r>
      <w:r>
        <w:rPr>
          <w:rFonts w:cs="바탕" w:hAnsi="바탕" w:eastAsia="바탕" w:ascii="바탕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1719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지방법원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                 </w:t>
      </w:r>
      <w:r>
        <w:rPr>
          <w:rFonts w:cs="바탕" w:hAnsi="바탕" w:eastAsia="바탕" w:ascii="바탕"/>
          <w:spacing w:val="7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귀중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exact" w:line="300"/>
        <w:ind w:left="119"/>
      </w:pPr>
      <w:r>
        <w:rPr>
          <w:rFonts w:cs="바탕" w:hAnsi="바탕" w:eastAsia="바탕" w:ascii="바탕"/>
          <w:spacing w:val="0"/>
          <w:w w:val="100"/>
          <w:position w:val="-3"/>
          <w:sz w:val="24"/>
          <w:szCs w:val="24"/>
        </w:rPr>
        <w:t>☞유의사항</w:t>
      </w:r>
      <w:r>
        <w:rPr>
          <w:rFonts w:cs="바탕" w:hAnsi="바탕" w:eastAsia="바탕" w:ascii="바탕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auto" w:line="286"/>
        <w:ind w:left="479" w:right="80" w:hanging="360"/>
      </w:pPr>
      <w:r>
        <w:rPr>
          <w:rFonts w:cs="바탕" w:hAnsi="바탕" w:eastAsia="바탕" w:ascii="바탕"/>
          <w:spacing w:val="-1"/>
          <w:w w:val="100"/>
          <w:sz w:val="24"/>
          <w:szCs w:val="24"/>
        </w:rPr>
        <w:t>1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)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이해관계인은</w:t>
      </w:r>
      <w:r>
        <w:rPr>
          <w:rFonts w:cs="바탕" w:hAnsi="바탕" w:eastAsia="바탕" w:ascii="바탕"/>
          <w:spacing w:val="2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매각허부여부의</w:t>
      </w:r>
      <w:r>
        <w:rPr>
          <w:rFonts w:cs="바탕" w:hAnsi="바탕" w:eastAsia="바탕" w:ascii="바탕"/>
          <w:spacing w:val="2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결정에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따라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손해를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볼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경우에만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그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결정에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대하여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즉시항고를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할수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있고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매각허가에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정당한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이유가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없거나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결정에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적은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것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외의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조건으로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허가하여야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한다고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7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주장하는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또는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매각허가를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주장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하는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매수신고인도</w:t>
      </w:r>
      <w:r>
        <w:rPr>
          <w:rFonts w:cs="바탕" w:hAnsi="바탕" w:eastAsia="바탕" w:ascii="바탕"/>
          <w:spacing w:val="2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즉시항고를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할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수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있습니다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12" w:lineRule="auto" w:line="286"/>
        <w:ind w:left="479" w:right="212" w:hanging="360"/>
      </w:pPr>
      <w:r>
        <w:rPr>
          <w:rFonts w:cs="바탕" w:hAnsi="바탕" w:eastAsia="바탕" w:ascii="바탕"/>
          <w:spacing w:val="-1"/>
          <w:w w:val="100"/>
          <w:sz w:val="24"/>
          <w:szCs w:val="24"/>
        </w:rPr>
        <w:t>2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)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매각허가결정에</w:t>
      </w:r>
      <w:r>
        <w:rPr>
          <w:rFonts w:cs="바탕" w:hAnsi="바탕" w:eastAsia="바탕" w:ascii="바탕"/>
          <w:spacing w:val="2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대한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항고는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민사집행법에</w:t>
      </w:r>
      <w:r>
        <w:rPr>
          <w:rFonts w:cs="바탕" w:hAnsi="바탕" w:eastAsia="바탕" w:ascii="바탕"/>
          <w:spacing w:val="2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규정한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매각허가에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대한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이의신청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사유가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있다거나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,</w:t>
      </w:r>
      <w:r>
        <w:rPr>
          <w:rFonts w:cs="바탕" w:hAnsi="바탕" w:eastAsia="바탕" w:ascii="바탕"/>
          <w:spacing w:val="3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그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결정절차에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중대한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잘못이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있다는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것을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이유로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드는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때에만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할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수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있습니다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12" w:lineRule="auto" w:line="286"/>
        <w:ind w:left="479" w:right="56" w:hanging="360"/>
      </w:pPr>
      <w:r>
        <w:rPr>
          <w:rFonts w:cs="바탕" w:hAnsi="바탕" w:eastAsia="바탕" w:ascii="바탕"/>
          <w:spacing w:val="-1"/>
          <w:w w:val="100"/>
          <w:sz w:val="24"/>
          <w:szCs w:val="24"/>
        </w:rPr>
        <w:t>3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)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매각허가결정에</w:t>
      </w:r>
      <w:r>
        <w:rPr>
          <w:rFonts w:cs="바탕" w:hAnsi="바탕" w:eastAsia="바탕" w:ascii="바탕"/>
          <w:spacing w:val="2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대하여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항고를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하고자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하는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사람은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보증으로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매각대금의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1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0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분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의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1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에</w:t>
      </w:r>
      <w:r>
        <w:rPr>
          <w:rFonts w:cs="바탕" w:hAnsi="바탕" w:eastAsia="바탕" w:ascii="바탕"/>
          <w:spacing w:val="3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해당하는</w:t>
      </w:r>
      <w:r>
        <w:rPr>
          <w:rFonts w:cs="바탕" w:hAnsi="바탕" w:eastAsia="바탕" w:ascii="바탕"/>
          <w:spacing w:val="3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금전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또는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법원이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인정한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유가증권을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공탁하여야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합니다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sectPr>
      <w:type w:val="continuous"/>
      <w:pgSz w:w="11900" w:h="16820"/>
      <w:pgMar w:top="1580" w:bottom="280" w:left="132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OC-0099-항고장</dc:title>
  <dc:creator>부동산태인</dc:creator>
</cp:coreProperties>
</file>